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68C1CD" w14:textId="77777777" w:rsidR="0082573F" w:rsidRDefault="007B3FAF">
      <w:pPr>
        <w:jc w:val="center"/>
      </w:pPr>
      <w:r>
        <w:rPr>
          <w:noProof/>
          <w:lang w:val="en-US"/>
        </w:rPr>
        <w:drawing>
          <wp:inline distT="114300" distB="114300" distL="114300" distR="114300" wp14:anchorId="16ED7626" wp14:editId="2EDA53EA">
            <wp:extent cx="2895600" cy="1000125"/>
            <wp:effectExtent l="0" t="0" r="0" b="0"/>
            <wp:docPr id="1" name="image2.png" descr="cminstdesignlogo.png"/>
            <wp:cNvGraphicFramePr/>
            <a:graphic xmlns:a="http://schemas.openxmlformats.org/drawingml/2006/main">
              <a:graphicData uri="http://schemas.openxmlformats.org/drawingml/2006/picture">
                <pic:pic xmlns:pic="http://schemas.openxmlformats.org/drawingml/2006/picture">
                  <pic:nvPicPr>
                    <pic:cNvPr id="0" name="image2.png" descr="cminstdesignlogo.png"/>
                    <pic:cNvPicPr preferRelativeResize="0"/>
                  </pic:nvPicPr>
                  <pic:blipFill>
                    <a:blip r:embed="rId7"/>
                    <a:srcRect/>
                    <a:stretch>
                      <a:fillRect/>
                    </a:stretch>
                  </pic:blipFill>
                  <pic:spPr>
                    <a:xfrm>
                      <a:off x="0" y="0"/>
                      <a:ext cx="2895600" cy="1000125"/>
                    </a:xfrm>
                    <a:prstGeom prst="rect">
                      <a:avLst/>
                    </a:prstGeom>
                    <a:ln/>
                  </pic:spPr>
                </pic:pic>
              </a:graphicData>
            </a:graphic>
          </wp:inline>
        </w:drawing>
      </w:r>
    </w:p>
    <w:p w14:paraId="1BDF9D42" w14:textId="77777777" w:rsidR="0082573F" w:rsidRDefault="007B3FAF">
      <w:pPr>
        <w:pStyle w:val="Heading2"/>
      </w:pPr>
      <w:bookmarkStart w:id="0" w:name="_jgbywzwculkn" w:colFirst="0" w:colLast="0"/>
      <w:bookmarkEnd w:id="0"/>
      <w:r>
        <w:t>Overview</w:t>
      </w:r>
    </w:p>
    <w:p w14:paraId="6CA0A0E6" w14:textId="77777777" w:rsidR="0082573F" w:rsidRDefault="007B3FAF">
      <w:r>
        <w:t>As a hearing impaired student, in an online graduate program, I struggle daily with understanding videos and audio. Canvas (our LMS) offers no captioning ability within its video capture and audio capture program functionality. Every class I’ve taken so fa</w:t>
      </w:r>
      <w:r>
        <w:t xml:space="preserve">r has relied heavily on one or both as a discussion tool. Additionally, I have observed the following two complaints in each of my 5 graduate classes so far: “How am I supposed to make sure that my materials are accessible?” and “I wish there were a class </w:t>
      </w:r>
      <w:r>
        <w:t xml:space="preserve">on accessible teaching in this program.” </w:t>
      </w:r>
    </w:p>
    <w:p w14:paraId="69499309" w14:textId="77777777" w:rsidR="0082573F" w:rsidRDefault="007B3FAF">
      <w:r>
        <w:t xml:space="preserve">There seems to me, to be a clear need to have direction on how to create 508 compliant/accessible materials. 508 compliance and accessibility is the focus of my internship project. This visual representation of an </w:t>
      </w:r>
      <w:r>
        <w:t>instruc</w:t>
      </w:r>
      <w:bookmarkStart w:id="1" w:name="_GoBack"/>
      <w:bookmarkEnd w:id="1"/>
      <w:r>
        <w:t>tional sequence infographic will serve to supplement my internship project. My target audience is both my fellow students in the eLearning program, and eLearning professionals in general. I will build the infographic using Adobe CC Photoshop, Illust</w:t>
      </w:r>
      <w:r>
        <w:t>rator and InDesign.</w:t>
      </w:r>
    </w:p>
    <w:p w14:paraId="469AA74C" w14:textId="77777777" w:rsidR="0082573F" w:rsidRDefault="007B3FAF">
      <w:r>
        <w:t>As an instructional designer for the Department of the Interior University, I design eLearning courses. One of the largest hurdles that I am tasked to overcome, is ensuring that our eLearning is 508 compliant and therefore accessible to</w:t>
      </w:r>
      <w:r>
        <w:t xml:space="preserve"> all students, no matter their disability. Here are the main disabilities that are considered when applying Section 508 standards to online courses:</w:t>
      </w:r>
    </w:p>
    <w:p w14:paraId="3610DF15" w14:textId="77777777" w:rsidR="0082573F" w:rsidRDefault="007B3FAF">
      <w:pPr>
        <w:numPr>
          <w:ilvl w:val="0"/>
          <w:numId w:val="1"/>
        </w:numPr>
      </w:pPr>
      <w:r>
        <w:t>Visual: electronic narration needs to be able to navigate the course (via tabbing) and understand the mater</w:t>
      </w:r>
      <w:r>
        <w:t xml:space="preserve">ials (when read aloud by the narrator program), only certain kinds of tests are accessible, the contrast of images has to be distinct, descriptive text needs to accompany important images, tables have to be formatted correctly, styles must be used on text </w:t>
      </w:r>
      <w:r>
        <w:t>for emphasis, images need to be named descriptively, color alone cannot be used to distinguish elements, and the user must be able to skip the navigation on each page, so that it is not read a</w:t>
      </w:r>
      <w:r w:rsidR="000F2077">
        <w:t>loud</w:t>
      </w:r>
      <w:r>
        <w:t xml:space="preserve"> each time</w:t>
      </w:r>
      <w:r w:rsidR="000F2077">
        <w:t>.</w:t>
      </w:r>
    </w:p>
    <w:p w14:paraId="404B059D" w14:textId="77777777" w:rsidR="0082573F" w:rsidRDefault="007B3FAF">
      <w:pPr>
        <w:numPr>
          <w:ilvl w:val="0"/>
          <w:numId w:val="1"/>
        </w:numPr>
      </w:pPr>
      <w:r>
        <w:t>Auditory: if there is audio and/or video it has</w:t>
      </w:r>
      <w:r>
        <w:t xml:space="preserve"> to have accurate in time captions, the learner needs to be able to turn audio off, and still comprehend the lessons.</w:t>
      </w:r>
    </w:p>
    <w:p w14:paraId="192341D6" w14:textId="77777777" w:rsidR="0082573F" w:rsidRDefault="007B3FAF">
      <w:pPr>
        <w:numPr>
          <w:ilvl w:val="0"/>
          <w:numId w:val="1"/>
        </w:numPr>
      </w:pPr>
      <w:r>
        <w:t>Physical: timed tests are not allowed, no blinking or flashing animations can be used for risk of seizure</w:t>
      </w:r>
    </w:p>
    <w:p w14:paraId="78A1747F" w14:textId="77777777" w:rsidR="0082573F" w:rsidRDefault="007B3FAF">
      <w:pPr>
        <w:numPr>
          <w:ilvl w:val="0"/>
          <w:numId w:val="1"/>
        </w:numPr>
      </w:pPr>
      <w:r>
        <w:t>Cognitive: the learning path nee</w:t>
      </w:r>
      <w:r>
        <w:t>ds to be clear and instructions need to be precise, if there is audio the learner needs to be able to mute it and still understand the lesson.</w:t>
      </w:r>
    </w:p>
    <w:p w14:paraId="64FF3075" w14:textId="77777777" w:rsidR="0082573F" w:rsidRDefault="0082573F">
      <w:pPr>
        <w:pStyle w:val="Heading2"/>
      </w:pPr>
      <w:bookmarkStart w:id="2" w:name="_5nw3q02z2vo0" w:colFirst="0" w:colLast="0"/>
      <w:bookmarkEnd w:id="2"/>
    </w:p>
    <w:p w14:paraId="2CF2F051" w14:textId="77777777" w:rsidR="0082573F" w:rsidRDefault="007B3FAF">
      <w:pPr>
        <w:pStyle w:val="Heading2"/>
      </w:pPr>
      <w:bookmarkStart w:id="3" w:name="_rebcel4pfeqq" w:colFirst="0" w:colLast="0"/>
      <w:bookmarkEnd w:id="3"/>
      <w:r>
        <w:br w:type="page"/>
      </w:r>
      <w:r>
        <w:lastRenderedPageBreak/>
        <w:t>Learning Objectives</w:t>
      </w:r>
    </w:p>
    <w:p w14:paraId="7EFA17E8" w14:textId="77777777" w:rsidR="0082573F" w:rsidRDefault="007B3FAF">
      <w:pPr>
        <w:numPr>
          <w:ilvl w:val="0"/>
          <w:numId w:val="3"/>
        </w:numPr>
      </w:pPr>
      <w:r>
        <w:t xml:space="preserve">By reviewing the statistics and the verbiage in the “Did You Know?” section, the eLearning </w:t>
      </w:r>
      <w:r>
        <w:t xml:space="preserve">developer will be able to describe why it's important to make eLearning accessible for their students. </w:t>
      </w:r>
    </w:p>
    <w:p w14:paraId="5B74203B" w14:textId="77777777" w:rsidR="0082573F" w:rsidRDefault="007B3FAF">
      <w:pPr>
        <w:numPr>
          <w:ilvl w:val="0"/>
          <w:numId w:val="3"/>
        </w:numPr>
      </w:pPr>
      <w:r>
        <w:t>By applying the steps illustrated in the infographic, eLearning developers will apply current accessibility standards to their eLearning courses, thus e</w:t>
      </w:r>
      <w:r>
        <w:t>nsuring their courses are useable by all of their students.</w:t>
      </w:r>
    </w:p>
    <w:p w14:paraId="11056881" w14:textId="77777777" w:rsidR="0082573F" w:rsidRDefault="007B3FAF">
      <w:pPr>
        <w:pStyle w:val="Heading2"/>
      </w:pPr>
      <w:bookmarkStart w:id="4" w:name="_9q0sref7d0my" w:colFirst="0" w:colLast="0"/>
      <w:bookmarkEnd w:id="4"/>
      <w:r>
        <w:t>Design Decisions</w:t>
      </w:r>
    </w:p>
    <w:p w14:paraId="1786D403" w14:textId="77777777" w:rsidR="0082573F" w:rsidRDefault="007B3FAF">
      <w:pPr>
        <w:pStyle w:val="Heading3"/>
      </w:pPr>
      <w:bookmarkStart w:id="5" w:name="_sa8i5j5j41d7" w:colFirst="0" w:colLast="0"/>
      <w:bookmarkEnd w:id="5"/>
      <w:r>
        <w:t xml:space="preserve">Design Decision 1: </w:t>
      </w:r>
    </w:p>
    <w:p w14:paraId="2A8044F1" w14:textId="77777777" w:rsidR="0082573F" w:rsidRDefault="007B3FAF">
      <w:r>
        <w:t xml:space="preserve">I chose to use a graphic of faceless diverse people. The majority of people with disabilities are not obviously disabled. </w:t>
      </w:r>
      <w:proofErr w:type="spellStart"/>
      <w:r>
        <w:t>Hogle</w:t>
      </w:r>
      <w:proofErr w:type="spellEnd"/>
      <w:r>
        <w:t xml:space="preserve"> (2017) </w:t>
      </w:r>
      <w:r w:rsidR="000F2077">
        <w:t>suggests</w:t>
      </w:r>
      <w:r>
        <w:t>, “A compelling ar</w:t>
      </w:r>
      <w:r>
        <w:t>gument for creating accessibility from the ground up is that it improves the experience of all learners, without singling out some learners by forcing them to ask for accommodations.”</w:t>
      </w:r>
    </w:p>
    <w:p w14:paraId="15E1A0D4" w14:textId="77777777" w:rsidR="0082573F" w:rsidRDefault="007B3FAF">
      <w:r>
        <w:t xml:space="preserve">Initially, I had considered using a photo of a diverse group of people, </w:t>
      </w:r>
      <w:r>
        <w:t xml:space="preserve">but I wanted the audience to imagine themselves as any one of the characters, thereby assisting the audience to empathize with those that are disabled. In my initial design, I had also tried a photographic approach, in which I photographed an eye, an ear, </w:t>
      </w:r>
      <w:r>
        <w:t xml:space="preserve">a hand and had a photo of a brain on a canvas texture. I felt that the emphasis would be more on body parts, than on relating to a human being. The faceless people graphic was purchased without copyright limits from </w:t>
      </w:r>
      <w:hyperlink r:id="rId8">
        <w:r>
          <w:rPr>
            <w:color w:val="1155CC"/>
            <w:u w:val="single"/>
          </w:rPr>
          <w:t>http://www.freepik.com/</w:t>
        </w:r>
      </w:hyperlink>
      <w:r>
        <w:t xml:space="preserve">. I changed the colors of the people in Adobe Illustrator CC to match my chosen color scheme. </w:t>
      </w:r>
    </w:p>
    <w:p w14:paraId="0BE39F3D" w14:textId="77777777" w:rsidR="0082573F" w:rsidRDefault="007B3FAF">
      <w:pPr>
        <w:pStyle w:val="Heading3"/>
      </w:pPr>
      <w:bookmarkStart w:id="6" w:name="_z4j72d117qtd" w:colFirst="0" w:colLast="0"/>
      <w:bookmarkEnd w:id="6"/>
      <w:r>
        <w:t>Design Decision 2:</w:t>
      </w:r>
    </w:p>
    <w:p w14:paraId="36609FCF" w14:textId="77777777" w:rsidR="0082573F" w:rsidRDefault="007B3FAF">
      <w:r>
        <w:t>I photographed a blank canvas, to subconsciously imply that not only is eLearning a creative endeavor, but also that</w:t>
      </w:r>
      <w:r>
        <w:t xml:space="preserve"> it is be easier to start planning for accessibility in the beginning. In her defense of designing eLearning with accessibility in mind from the beginning, </w:t>
      </w:r>
      <w:proofErr w:type="spellStart"/>
      <w:r>
        <w:t>Hogle</w:t>
      </w:r>
      <w:proofErr w:type="spellEnd"/>
      <w:r>
        <w:t xml:space="preserve"> argues that retrofitting a course for accessibility would “be akin to creating that eLearning </w:t>
      </w:r>
      <w:r>
        <w:t>again - lots of hours of developer and editor time, production costs, and redesign.”</w:t>
      </w:r>
    </w:p>
    <w:p w14:paraId="33DF87F7" w14:textId="77777777" w:rsidR="0082573F" w:rsidRDefault="007B3FAF">
      <w:pPr>
        <w:pStyle w:val="Heading3"/>
      </w:pPr>
      <w:bookmarkStart w:id="7" w:name="_xyszz7u3t75h" w:colFirst="0" w:colLast="0"/>
      <w:bookmarkEnd w:id="7"/>
      <w:r>
        <w:t xml:space="preserve">Design Decision 3: </w:t>
      </w:r>
    </w:p>
    <w:p w14:paraId="216FD850" w14:textId="77777777" w:rsidR="0082573F" w:rsidRDefault="007B3FAF">
      <w:r>
        <w:t>I chose to put the call to action “Did You Know?” section in the upper left, so that it would be the first thing the learner read. I made it the larges</w:t>
      </w:r>
      <w:r>
        <w:t xml:space="preserve">t single element, and added a question mark and exclamation point to highlight its importance. When I had first planned out my call to action, I was going to cite legal issues, and attempt to create a sense of urgency with the threat of law. After reading </w:t>
      </w:r>
      <w:r>
        <w:t>“Interface Design for Learning” I decided to change my approach. Peters (2014) states: “Avoid cues that call them to urgent attention...Instead favor clean, open designs that signal possibility, as well as obvious ways to erase, undo, edit, or experiment s</w:t>
      </w:r>
      <w:r>
        <w:t>afely.” With that in mind, I reworked the section to have a much more supportive, understanding, and advice kind of feel. I attempted to make them the hero, rather than scolding them for ignoring an important issue.</w:t>
      </w:r>
    </w:p>
    <w:p w14:paraId="5ACA36C6" w14:textId="77777777" w:rsidR="0082573F" w:rsidRDefault="007B3FAF">
      <w:pPr>
        <w:pStyle w:val="Heading3"/>
      </w:pPr>
      <w:bookmarkStart w:id="8" w:name="_b3hxjjeeg13u" w:colFirst="0" w:colLast="0"/>
      <w:bookmarkEnd w:id="8"/>
      <w:r>
        <w:lastRenderedPageBreak/>
        <w:t xml:space="preserve">Design Decision 4: </w:t>
      </w:r>
    </w:p>
    <w:p w14:paraId="1AA42F3C" w14:textId="77777777" w:rsidR="0082573F" w:rsidRDefault="007B3FAF">
      <w:r>
        <w:t>After reviewing more</w:t>
      </w:r>
      <w:r>
        <w:t xml:space="preserve"> than 20 articles on disability in the U.S., I selected the 5 most impressive statistics that I could find. When I have read about cognitive disability in learning situations, I had imagined a small percentage of the population would be affected by it. I w</w:t>
      </w:r>
      <w:r>
        <w:t>as shocked to learn that 50% of the adults in the United States cannot read at the 8th grade level. This statistic, and the others I shared, really illustrate how prevalent disability is, and how important it is to consider when designing courses.</w:t>
      </w:r>
    </w:p>
    <w:p w14:paraId="27B4DA74" w14:textId="77777777" w:rsidR="0082573F" w:rsidRDefault="007B3FAF">
      <w:pPr>
        <w:pStyle w:val="Heading3"/>
      </w:pPr>
      <w:bookmarkStart w:id="9" w:name="_suy2wcqauj23" w:colFirst="0" w:colLast="0"/>
      <w:bookmarkEnd w:id="9"/>
      <w:r>
        <w:t>Design D</w:t>
      </w:r>
      <w:r>
        <w:t xml:space="preserve">ecision 5: </w:t>
      </w:r>
    </w:p>
    <w:p w14:paraId="602D5CD2" w14:textId="77777777" w:rsidR="0082573F" w:rsidRDefault="007B3FAF">
      <w:r>
        <w:t>On the right side, which is the job aid checklist for developers to use, I used rounded corners and an overall color scheme of warm deep colors that would provide for good contrast. Peters (2014) explains that in order to set a positive mood fo</w:t>
      </w:r>
      <w:r>
        <w:t>r creative thinking you should: “Incorporate images and experiences that are warm, sweet, bright, soothing, symmetrical, rounded, smooth, or soft.”</w:t>
      </w:r>
    </w:p>
    <w:p w14:paraId="474EC579" w14:textId="77777777" w:rsidR="0082573F" w:rsidRDefault="007B3FAF">
      <w:pPr>
        <w:pStyle w:val="Heading2"/>
      </w:pPr>
      <w:bookmarkStart w:id="10" w:name="_t63ey7vvclx4" w:colFirst="0" w:colLast="0"/>
      <w:bookmarkEnd w:id="10"/>
      <w:r>
        <w:t>Formative Evaluation Response</w:t>
      </w:r>
    </w:p>
    <w:p w14:paraId="33FA7CFD" w14:textId="77777777" w:rsidR="0082573F" w:rsidRDefault="007B3FAF">
      <w:pPr>
        <w:rPr>
          <w:highlight w:val="white"/>
        </w:rPr>
      </w:pPr>
      <w:r>
        <w:rPr>
          <w:b/>
        </w:rPr>
        <w:t>Peer Review Question 1:</w:t>
      </w:r>
      <w:r>
        <w:t xml:space="preserve"> </w:t>
      </w:r>
      <w:r>
        <w:rPr>
          <w:highlight w:val="white"/>
        </w:rPr>
        <w:t>I chose to use a photo I took of a blank canvas as the</w:t>
      </w:r>
      <w:r>
        <w:rPr>
          <w:highlight w:val="white"/>
        </w:rPr>
        <w:t xml:space="preserve"> background. It has two purposes: 1) to suggest that if you are to begin with accessibility in mind, you will save considerable time and money, and 2) that we are all creative people in some capacity, and to create eLearning is like a work of art. Do you f</w:t>
      </w:r>
      <w:r>
        <w:rPr>
          <w:highlight w:val="white"/>
        </w:rPr>
        <w:t>ind the canvas texture to be subtle enough, and is it pleasing to the eye?</w:t>
      </w:r>
    </w:p>
    <w:p w14:paraId="2B99BB12" w14:textId="77777777" w:rsidR="0082573F" w:rsidRDefault="007B3FAF">
      <w:pPr>
        <w:ind w:left="720"/>
        <w:rPr>
          <w:highlight w:val="white"/>
        </w:rPr>
      </w:pPr>
      <w:r>
        <w:rPr>
          <w:b/>
        </w:rPr>
        <w:t>Peer Reviewer A:</w:t>
      </w:r>
      <w:r>
        <w:t xml:space="preserve"> </w:t>
      </w:r>
      <w:r>
        <w:rPr>
          <w:highlight w:val="white"/>
        </w:rPr>
        <w:t>Honestly I just thought the textured background was so that all this didn’t sit on a white background. I didn’t get the impression this was a “blank canvas”. The background is certainly pleasing to the eye and it is subtle enough, but to go for that “blank</w:t>
      </w:r>
      <w:r>
        <w:rPr>
          <w:highlight w:val="white"/>
        </w:rPr>
        <w:t xml:space="preserve"> canvas” look you may want to try increasing the intensity of this texture. Or, keep it as-is and add some kind of cardboard protectors to the corners like you see on a new canvas from the art shop.</w:t>
      </w:r>
    </w:p>
    <w:p w14:paraId="43AA6E1E" w14:textId="77777777" w:rsidR="0082573F" w:rsidRDefault="007B3FAF">
      <w:pPr>
        <w:ind w:left="720"/>
      </w:pPr>
      <w:r>
        <w:rPr>
          <w:b/>
        </w:rPr>
        <w:t>Peer Reviewer B:</w:t>
      </w:r>
      <w:r>
        <w:t xml:space="preserve"> I honestly would have never noticed the </w:t>
      </w:r>
      <w:r>
        <w:t xml:space="preserve">canvas background without you mentioning it. It is very subtle.  I like how it brings some texture to the infographic without being distracting. </w:t>
      </w:r>
    </w:p>
    <w:p w14:paraId="7C4F40CC" w14:textId="77777777" w:rsidR="0082573F" w:rsidRDefault="007B3FAF">
      <w:pPr>
        <w:ind w:left="720"/>
      </w:pPr>
      <w:r>
        <w:rPr>
          <w:b/>
        </w:rPr>
        <w:t>Considerations:</w:t>
      </w:r>
      <w:r>
        <w:t xml:space="preserve"> Since I wanted the canvas to be a subtle, almost subconscious choice, I’ve kept it. I did re-p</w:t>
      </w:r>
      <w:r>
        <w:t>hotograph a whole canvas, rather than just the texture. I’ve floated the canvas to the side of the title of the infographic, which I feel provides a nice border to the piece, anchoring it visually in the space.</w:t>
      </w:r>
    </w:p>
    <w:p w14:paraId="0775D264" w14:textId="77777777" w:rsidR="0082573F" w:rsidRDefault="0082573F">
      <w:pPr>
        <w:ind w:left="720"/>
      </w:pPr>
    </w:p>
    <w:p w14:paraId="4E14F89B" w14:textId="77777777" w:rsidR="0082573F" w:rsidRDefault="007B3FAF">
      <w:pPr>
        <w:rPr>
          <w:highlight w:val="white"/>
        </w:rPr>
      </w:pPr>
      <w:r>
        <w:rPr>
          <w:b/>
        </w:rPr>
        <w:t>Peer Review Question 2:</w:t>
      </w:r>
      <w:r>
        <w:t xml:space="preserve"> </w:t>
      </w:r>
      <w:r>
        <w:rPr>
          <w:highlight w:val="white"/>
        </w:rPr>
        <w:t>I broke up the "canv</w:t>
      </w:r>
      <w:r>
        <w:rPr>
          <w:highlight w:val="white"/>
        </w:rPr>
        <w:t>as" into thirds, and placed the call-to-action/emotional appeal in the first left third, so that the learner would naturally read that section first. Was your eye drawn the left third first? If not, what was your focus on instead?</w:t>
      </w:r>
    </w:p>
    <w:p w14:paraId="15922794" w14:textId="77777777" w:rsidR="0082573F" w:rsidRDefault="007B3FAF">
      <w:pPr>
        <w:ind w:left="720"/>
        <w:rPr>
          <w:highlight w:val="white"/>
        </w:rPr>
      </w:pPr>
      <w:r>
        <w:rPr>
          <w:b/>
        </w:rPr>
        <w:t>Peer Reviewer A:</w:t>
      </w:r>
      <w:r>
        <w:t xml:space="preserve"> </w:t>
      </w:r>
      <w:r>
        <w:rPr>
          <w:highlight w:val="white"/>
        </w:rPr>
        <w:t>What a g</w:t>
      </w:r>
      <w:r>
        <w:rPr>
          <w:highlight w:val="white"/>
        </w:rPr>
        <w:t xml:space="preserve">reat question. No, my eyes went to the right half. That may be because the right hand side doesn’t have two sections and so it’s easier for my </w:t>
      </w:r>
      <w:proofErr w:type="spellStart"/>
      <w:r>
        <w:rPr>
          <w:highlight w:val="white"/>
        </w:rPr>
        <w:t>brian</w:t>
      </w:r>
      <w:proofErr w:type="spellEnd"/>
      <w:r>
        <w:rPr>
          <w:highlight w:val="white"/>
        </w:rPr>
        <w:t xml:space="preserve"> to focus there since there’s less stuff to process. I’m not sure if you meant “first left third” was pertai</w:t>
      </w:r>
      <w:r>
        <w:rPr>
          <w:highlight w:val="white"/>
        </w:rPr>
        <w:t xml:space="preserve">ning to the paragraphs or the statistics. Regardless, I think the paragraph section needs more to it to make it “pop”. My suggestion would be that within these </w:t>
      </w:r>
      <w:r>
        <w:rPr>
          <w:highlight w:val="white"/>
        </w:rPr>
        <w:lastRenderedPageBreak/>
        <w:t>sentences there are key words or phrases that you want to convey and adding some simple contrast</w:t>
      </w:r>
      <w:r>
        <w:rPr>
          <w:highlight w:val="white"/>
        </w:rPr>
        <w:t xml:space="preserve"> – even just by bold typeface – works. For example, reworking the sentence to read “That means that </w:t>
      </w:r>
      <w:r>
        <w:rPr>
          <w:b/>
          <w:highlight w:val="white"/>
        </w:rPr>
        <w:t>you should be creating your eLearning with accessibility in mind</w:t>
      </w:r>
      <w:r>
        <w:rPr>
          <w:highlight w:val="white"/>
        </w:rPr>
        <w:t xml:space="preserve">” would drive home this key point within this paragraph of text. You could do this for “The </w:t>
      </w:r>
      <w:r>
        <w:rPr>
          <w:highlight w:val="white"/>
        </w:rPr>
        <w:t>ADA’s states that…” sentence as well.</w:t>
      </w:r>
    </w:p>
    <w:p w14:paraId="2305275E" w14:textId="77777777" w:rsidR="0082573F" w:rsidRDefault="007B3FAF">
      <w:pPr>
        <w:ind w:left="720"/>
      </w:pPr>
      <w:r>
        <w:rPr>
          <w:b/>
        </w:rPr>
        <w:t>Peer Reviewer B:</w:t>
      </w:r>
      <w:r>
        <w:t xml:space="preserve"> </w:t>
      </w:r>
      <w:r>
        <w:t xml:space="preserve">When I initially opened the infographic, my attention was immediately drawn to the right of the screen with the information under “How?”. After browsing through that information, I realized I was confused as to what was going on and I noticed the image to </w:t>
      </w:r>
      <w:r>
        <w:t>the left which provided the statistics.  As the “Why” section had so much written information, I actually gravitated toward that text last.</w:t>
      </w:r>
    </w:p>
    <w:p w14:paraId="17C40962" w14:textId="77777777" w:rsidR="0082573F" w:rsidRDefault="007B3FAF">
      <w:pPr>
        <w:ind w:left="720"/>
      </w:pPr>
      <w:r>
        <w:rPr>
          <w:b/>
        </w:rPr>
        <w:t xml:space="preserve">Considerations: </w:t>
      </w:r>
      <w:r>
        <w:t>I’ve revised the call to action section to be a callout box with a large question mark and exclamati</w:t>
      </w:r>
      <w:r>
        <w:t>on point. I’ve revised basically all the text in the infographic. I was still copywriting when I needed to submit the rough draft. I should have mentioned that when I submitted it. I could have warned them not to look for writing errors. This piece has a m</w:t>
      </w:r>
      <w:r>
        <w:t>assive amount of information in it, and I am citing several sources. I did take Reviewer A’s suggestion on reworking the Why? And the How sections to be more descriptive. It’s interesting to me that they felt that the call to action section had “so much in</w:t>
      </w:r>
      <w:r>
        <w:t>formation” when the job aid has nearly three times that. I guess that highlights the perception of bullet points vs. body copy/paragraphs. I’ve revised the call to action to be much more conversational and supportive, rather than threatening and scolding i</w:t>
      </w:r>
      <w:r>
        <w:t>n tone.</w:t>
      </w:r>
    </w:p>
    <w:p w14:paraId="56A8ABF9" w14:textId="77777777" w:rsidR="0082573F" w:rsidRDefault="0082573F">
      <w:pPr>
        <w:ind w:left="720"/>
      </w:pPr>
    </w:p>
    <w:p w14:paraId="1FDA5237" w14:textId="77777777" w:rsidR="0082573F" w:rsidRDefault="007B3FAF">
      <w:pPr>
        <w:rPr>
          <w:highlight w:val="white"/>
        </w:rPr>
      </w:pPr>
      <w:r>
        <w:rPr>
          <w:b/>
        </w:rPr>
        <w:t>Peer Review Question 3:</w:t>
      </w:r>
      <w:r>
        <w:t xml:space="preserve"> </w:t>
      </w:r>
      <w:r>
        <w:rPr>
          <w:highlight w:val="white"/>
        </w:rPr>
        <w:t>I'm choosing to credit the statistics by using footnotes. I included 1 and 2 at the bottom, and have yet to track down the proper quotes for 3-5. Is the footnoting that I've used correct for quoting stats? If not, do you ha</w:t>
      </w:r>
      <w:r>
        <w:rPr>
          <w:highlight w:val="white"/>
        </w:rPr>
        <w:t>ve a suggestion for a better method?</w:t>
      </w:r>
    </w:p>
    <w:p w14:paraId="1590CAE5" w14:textId="77777777" w:rsidR="0082573F" w:rsidRDefault="007B3FAF">
      <w:pPr>
        <w:ind w:left="720"/>
        <w:rPr>
          <w:highlight w:val="white"/>
        </w:rPr>
      </w:pPr>
      <w:r>
        <w:rPr>
          <w:b/>
        </w:rPr>
        <w:t>Peer Reviewer A:</w:t>
      </w:r>
      <w:r>
        <w:t xml:space="preserve"> </w:t>
      </w:r>
      <w:r>
        <w:rPr>
          <w:highlight w:val="white"/>
        </w:rPr>
        <w:t>From my experience with statistics in infographics, I think you’re spot on with your approach to referencing the sources. Your use of colors and numbers ad contrast is EXCELLENT here. I really enjoyed t</w:t>
      </w:r>
      <w:r>
        <w:rPr>
          <w:highlight w:val="white"/>
        </w:rPr>
        <w:t>hat visual. Watch the grammar in the 40% one – I think it reads better as “Students don’t or won’t…” (omit word “that”). Also, are the 52% of students that said they found captions help or improve their learnings also students without disabilities, student</w:t>
      </w:r>
      <w:r>
        <w:rPr>
          <w:highlight w:val="white"/>
        </w:rPr>
        <w:t>s, with, or students in general? It may be nice to be able to clarify this point by saying “All students surveyed said that…” if this is truly the case.</w:t>
      </w:r>
    </w:p>
    <w:p w14:paraId="6EC46E88" w14:textId="77777777" w:rsidR="0082573F" w:rsidRDefault="007B3FAF">
      <w:pPr>
        <w:ind w:left="720"/>
      </w:pPr>
      <w:r>
        <w:rPr>
          <w:b/>
        </w:rPr>
        <w:t>Peer Reviewer B:</w:t>
      </w:r>
      <w:r>
        <w:t xml:space="preserve"> The footnotes look appropriate to me. I think simply referencing the organization or s</w:t>
      </w:r>
      <w:r>
        <w:t xml:space="preserve">ite where you found the information should be sufficient. However, I haven’t had much experience citing sources on infographics. </w:t>
      </w:r>
    </w:p>
    <w:p w14:paraId="00D15238" w14:textId="77777777" w:rsidR="0082573F" w:rsidRDefault="007B3FAF">
      <w:pPr>
        <w:ind w:left="720"/>
      </w:pPr>
      <w:r>
        <w:rPr>
          <w:b/>
        </w:rPr>
        <w:t>Considerations:</w:t>
      </w:r>
      <w:r>
        <w:t xml:space="preserve"> I actually wasn’t totally happy with my color scheme in my rough draft, so I revised it to be richer, darker a</w:t>
      </w:r>
      <w:r>
        <w:t>nd warmer. I feel that the colors are spot on in my final version. It also makes it easier to read white text when the background is dark (</w:t>
      </w:r>
      <w:proofErr w:type="spellStart"/>
      <w:r>
        <w:t>ie</w:t>
      </w:r>
      <w:proofErr w:type="spellEnd"/>
      <w:r>
        <w:t>. contrast/CARP). I’ve kept the footnotes as is, and made them live links for web use, in case anyone wants to navi</w:t>
      </w:r>
      <w:r>
        <w:t>gate to the sources. Again, I wasn’t nearly finished with the text when I posted the rough draft.</w:t>
      </w:r>
    </w:p>
    <w:p w14:paraId="794BD6BA" w14:textId="77777777" w:rsidR="0082573F" w:rsidRDefault="0082573F">
      <w:pPr>
        <w:ind w:left="720"/>
      </w:pPr>
    </w:p>
    <w:p w14:paraId="6D799A1A" w14:textId="77777777" w:rsidR="0082573F" w:rsidRDefault="007B3FAF">
      <w:pPr>
        <w:rPr>
          <w:highlight w:val="white"/>
        </w:rPr>
      </w:pPr>
      <w:r>
        <w:rPr>
          <w:b/>
        </w:rPr>
        <w:lastRenderedPageBreak/>
        <w:t>Peer Review Question 4:</w:t>
      </w:r>
      <w:r>
        <w:t xml:space="preserve"> </w:t>
      </w:r>
      <w:r>
        <w:rPr>
          <w:highlight w:val="white"/>
        </w:rPr>
        <w:t>I made the heavier text in the right 2/3 as a job aid. Would you prefer it were check boxes rather than bullets? I don't anticipate t</w:t>
      </w:r>
      <w:r>
        <w:rPr>
          <w:highlight w:val="white"/>
        </w:rPr>
        <w:t xml:space="preserve">hat people will print it and check mark it, rather I imagine it as something an eLearning developer would scan. </w:t>
      </w:r>
    </w:p>
    <w:p w14:paraId="6D19B87A" w14:textId="77777777" w:rsidR="0082573F" w:rsidRDefault="007B3FAF">
      <w:pPr>
        <w:ind w:left="720"/>
        <w:rPr>
          <w:highlight w:val="white"/>
        </w:rPr>
      </w:pPr>
      <w:r>
        <w:rPr>
          <w:b/>
        </w:rPr>
        <w:t>Peer Reviewer A:</w:t>
      </w:r>
      <w:r>
        <w:t xml:space="preserve"> </w:t>
      </w:r>
      <w:r>
        <w:rPr>
          <w:highlight w:val="white"/>
        </w:rPr>
        <w:t>I didn’t get the impression the right 2/3 was meant to be a job aid from the perspective of it being a checklist. I thought it</w:t>
      </w:r>
      <w:r>
        <w:rPr>
          <w:highlight w:val="white"/>
        </w:rPr>
        <w:t xml:space="preserve"> was more guidelines to follow. From your question you’re posing I now understand this is supposed to be a good reference material people use to ensure during their development they are maintaining inclusive design integrity. I think this can be accomplish</w:t>
      </w:r>
      <w:r>
        <w:rPr>
          <w:highlight w:val="white"/>
        </w:rPr>
        <w:t>ed in two ways – the first being by making these bullet points more as a checklist (like you suggested) – perhaps even some statements can turn into questions. Secondly I think you could expand your header from just “How”. Yes, I realize this would now put</w:t>
      </w:r>
      <w:r>
        <w:rPr>
          <w:highlight w:val="white"/>
        </w:rPr>
        <w:t xml:space="preserve"> the top text at odds with the “Why” but I already feel the Why should/could expand to “Why it’s important” so perhaps something like “How to make your learnings Accessible” works.</w:t>
      </w:r>
    </w:p>
    <w:p w14:paraId="0EC702DB" w14:textId="77777777" w:rsidR="0082573F" w:rsidRDefault="007B3FAF">
      <w:pPr>
        <w:ind w:left="720"/>
      </w:pPr>
      <w:r>
        <w:rPr>
          <w:b/>
        </w:rPr>
        <w:t>Peer Reviewer B:</w:t>
      </w:r>
      <w:r>
        <w:t xml:space="preserve"> I think the bullet points work well. I think if you were t</w:t>
      </w:r>
      <w:r>
        <w:t>o use checkboxes it would look kind of odd and somewhat distracting from the text. When reviewing this section, you do use some terminology that some people may not know. For example, within the “Text” box you mention using styles “H1-H4”, within the “Imag</w:t>
      </w:r>
      <w:r>
        <w:t>es” box you mention “2 to 55 Hz”, and I’m not sure that your audience would know what you mean by “GUI/</w:t>
      </w:r>
      <w:proofErr w:type="spellStart"/>
      <w:r>
        <w:t>Nav</w:t>
      </w:r>
      <w:proofErr w:type="spellEnd"/>
      <w:r>
        <w:t>”. I understand you have a specific audience in mind, however, I think it would be beneficial to actually spell out the terms.</w:t>
      </w:r>
    </w:p>
    <w:p w14:paraId="03C539A5" w14:textId="77777777" w:rsidR="0082573F" w:rsidRDefault="007B3FAF">
      <w:pPr>
        <w:ind w:left="720"/>
      </w:pPr>
      <w:r>
        <w:rPr>
          <w:b/>
        </w:rPr>
        <w:t>Considerations:</w:t>
      </w:r>
      <w:r>
        <w:t xml:space="preserve"> I’ve re</w:t>
      </w:r>
      <w:r>
        <w:t xml:space="preserve">vised the “How?” section to be “How to Make Your Courses Accessible” and added a subtitle referring to the job aid below for clarity. I am using a different graphic here for the background; the final one is a more fluid layout. I’ve changed the bullets to </w:t>
      </w:r>
      <w:r>
        <w:t>checkmarks, rather than check boxes (as I was previously considering). All the text has been updated to be grammatically correct. I reworked many of the technical terms to be easier to understand. Rather than brief bullets, I’ve made the bulleted text shor</w:t>
      </w:r>
      <w:r>
        <w:t xml:space="preserve">t sentences. </w:t>
      </w:r>
      <w:r w:rsidR="000F2077">
        <w:t>I changed the GUI/</w:t>
      </w:r>
      <w:proofErr w:type="spellStart"/>
      <w:r w:rsidR="000F2077">
        <w:t>Nav</w:t>
      </w:r>
      <w:proofErr w:type="spellEnd"/>
      <w:r w:rsidR="000F2077">
        <w:t xml:space="preserve"> to “Layout,” and explained the technical text.</w:t>
      </w:r>
    </w:p>
    <w:p w14:paraId="40411741" w14:textId="77777777" w:rsidR="0082573F" w:rsidRDefault="0082573F">
      <w:pPr>
        <w:ind w:left="720"/>
      </w:pPr>
    </w:p>
    <w:p w14:paraId="1C25E7D1" w14:textId="77777777" w:rsidR="0082573F" w:rsidRDefault="007B3FAF">
      <w:r>
        <w:rPr>
          <w:b/>
        </w:rPr>
        <w:t>Peer Review Question 5:</w:t>
      </w:r>
      <w:r>
        <w:t xml:space="preserve"> </w:t>
      </w:r>
      <w:r>
        <w:rPr>
          <w:highlight w:val="white"/>
        </w:rPr>
        <w:t>I worry about getting too preachy in the emotional/call to action section (the left 1/3). I have yet to add conclusion paragraph. Do you think I should revise the text to be less or more emotional? Do you have any sug</w:t>
      </w:r>
      <w:r>
        <w:rPr>
          <w:highlight w:val="white"/>
        </w:rPr>
        <w:t>gestions on what you (as an eLearning developer) would like to see there?</w:t>
      </w:r>
    </w:p>
    <w:p w14:paraId="753AF02C" w14:textId="77777777" w:rsidR="0082573F" w:rsidRDefault="007B3FAF">
      <w:pPr>
        <w:ind w:left="720"/>
        <w:rPr>
          <w:highlight w:val="white"/>
        </w:rPr>
      </w:pPr>
      <w:r>
        <w:rPr>
          <w:b/>
        </w:rPr>
        <w:t>Peer Reviewer A:</w:t>
      </w:r>
      <w:r>
        <w:t xml:space="preserve"> </w:t>
      </w:r>
      <w:r>
        <w:rPr>
          <w:highlight w:val="white"/>
        </w:rPr>
        <w:t>I have made some suggestions above, so beyond what’s been said up to this point I would try to include something else that really makes people aware just how prevale</w:t>
      </w:r>
      <w:r>
        <w:rPr>
          <w:highlight w:val="white"/>
        </w:rPr>
        <w:t>nt students with disabilities are. I had no idea 50% of the adults in the US cannot read at the eighth grade level – WOW! Are there any statistics in the paragraph section you can find regarding how many students/people in the US identify as having a disab</w:t>
      </w:r>
      <w:r>
        <w:rPr>
          <w:highlight w:val="white"/>
        </w:rPr>
        <w:t>ility? There’s people with auditory and visual disabilities and I wonder what those numbers are. I think you’re trying to tell people, “Look, whether or not they disclose to us, there are people around us with learning disabilities and it’s our job to make</w:t>
      </w:r>
      <w:r>
        <w:rPr>
          <w:highlight w:val="white"/>
        </w:rPr>
        <w:t xml:space="preserve"> our materials work for them” and I feel some way of saying “there are X percent/people with disabilities and that number is most likely higher as disabilities are under reported” may help drive this message home. As some general last notes, I noticed a fe</w:t>
      </w:r>
      <w:r>
        <w:rPr>
          <w:highlight w:val="white"/>
        </w:rPr>
        <w:t xml:space="preserve">w grammar mistakes throughout – mainly in the How? Section, so as you tweak this copy, look out for those. Also, what a great job on design layout and structure Christina. You really did </w:t>
      </w:r>
      <w:r>
        <w:rPr>
          <w:highlight w:val="white"/>
        </w:rPr>
        <w:lastRenderedPageBreak/>
        <w:t>a wonderful job following the CARP principles, your use of colors and</w:t>
      </w:r>
      <w:r>
        <w:rPr>
          <w:highlight w:val="white"/>
        </w:rPr>
        <w:t xml:space="preserve"> icons was really, really impressive.</w:t>
      </w:r>
    </w:p>
    <w:p w14:paraId="711CD17A" w14:textId="77777777" w:rsidR="0082573F" w:rsidRDefault="007B3FAF">
      <w:pPr>
        <w:ind w:left="720"/>
      </w:pPr>
      <w:r>
        <w:rPr>
          <w:b/>
        </w:rPr>
        <w:t>Peer Reviewer B:</w:t>
      </w:r>
      <w:r>
        <w:t xml:space="preserve"> I do think this section should be revised.  I like the information you have included and it does express how passionate you are about the issue, however, I do think less emotion would be good. Maybe it</w:t>
      </w:r>
      <w:r>
        <w:t xml:space="preserve">’s because you have not finished the section yet, but when I read it, it’s hard for me to tie this information in with the rest of the infographic. For some reason it seems out of place. I think simply providing facts on why </w:t>
      </w:r>
      <w:proofErr w:type="spellStart"/>
      <w:r>
        <w:t>elearning</w:t>
      </w:r>
      <w:proofErr w:type="spellEnd"/>
      <w:r>
        <w:t xml:space="preserve"> developers should be </w:t>
      </w:r>
      <w:r>
        <w:t>more mindful and inclusive when creating instruction would be good.</w:t>
      </w:r>
    </w:p>
    <w:p w14:paraId="799D1B25" w14:textId="77777777" w:rsidR="0082573F" w:rsidRDefault="007B3FAF">
      <w:pPr>
        <w:ind w:left="720"/>
      </w:pPr>
      <w:r>
        <w:rPr>
          <w:b/>
        </w:rPr>
        <w:t>Considerations:</w:t>
      </w:r>
      <w:r>
        <w:t xml:space="preserve"> I’ve revised the text in the call to action “Did You Know?” section. It’s difficult to emphasize how important this issue is, without sounding threatening. It’s a huge issu</w:t>
      </w:r>
      <w:r>
        <w:t xml:space="preserve">e, one that costs millions of dollars in lawsuits every year. People with disabilities are far less likely to be employed, most struggle with depression, and they are the largest diversity segment of the workforce. I’m struggling with this very issue (how </w:t>
      </w:r>
      <w:r>
        <w:t xml:space="preserve">to be passionate, but also inspiring) in my Internship project (for credit) on accessibility. As explained in the design consideration (#5), I chose to make it a more conversational tone, that was supportive rather than threatening. </w:t>
      </w:r>
    </w:p>
    <w:p w14:paraId="1B2754F4" w14:textId="77777777" w:rsidR="0082573F" w:rsidRDefault="007B3FAF">
      <w:pPr>
        <w:pStyle w:val="Heading2"/>
      </w:pPr>
      <w:bookmarkStart w:id="11" w:name="_qadjqx3l7jo6" w:colFirst="0" w:colLast="0"/>
      <w:bookmarkEnd w:id="11"/>
      <w:r>
        <w:t>Lessons Learned</w:t>
      </w:r>
    </w:p>
    <w:p w14:paraId="4EF2C784" w14:textId="77777777" w:rsidR="0082573F" w:rsidRDefault="007B3FAF">
      <w:r>
        <w:t xml:space="preserve">While </w:t>
      </w:r>
      <w:r>
        <w:t>I am very passionate about accessibility, many people are unaware of how many of us are affected by it. I think the thing I struggled with the most on this project, was creating a supportive tone, rather than shouting from the rooftops. Most of what I’ve r</w:t>
      </w:r>
      <w:r>
        <w:t>ead on the subject is legal, threatening, and technical. I really wanted to bring a more compelling and human appeal to the facts. Oddly enough, it was non-related books that helped me craft my message. I had thought that the webinars, and many papers on a</w:t>
      </w:r>
      <w:r>
        <w:t>ccessibility would have informed my project. While they did provide the statistics, other books provided the guidance on how to get my message across effectively. I especially enjoyed these books: Made to Stick by Chip Heath and Dan Heath, Interface Design</w:t>
      </w:r>
      <w:r>
        <w:t xml:space="preserve"> for Learning by Dorian Peters, and Resonate by Nancy Duarte.</w:t>
      </w:r>
    </w:p>
    <w:p w14:paraId="52DCF99B" w14:textId="77777777" w:rsidR="0082573F" w:rsidRDefault="007B3FAF">
      <w:pPr>
        <w:pStyle w:val="Heading2"/>
      </w:pPr>
      <w:bookmarkStart w:id="12" w:name="_ngcuza5bpbvg" w:colFirst="0" w:colLast="0"/>
      <w:bookmarkEnd w:id="12"/>
      <w:r>
        <w:t>Bibliography</w:t>
      </w:r>
    </w:p>
    <w:p w14:paraId="0260834F" w14:textId="77777777" w:rsidR="0082573F" w:rsidRDefault="007B3FAF">
      <w:pPr>
        <w:numPr>
          <w:ilvl w:val="0"/>
          <w:numId w:val="2"/>
        </w:numPr>
      </w:pPr>
      <w:r>
        <w:t>Duarte, N. (2010). Resonate: Present visual stories that transform audiences. John Wiley &amp; Sons, Inc., Hoboken, New Jersey.</w:t>
      </w:r>
    </w:p>
    <w:p w14:paraId="4B9A1290" w14:textId="77777777" w:rsidR="0082573F" w:rsidRDefault="007B3FAF">
      <w:pPr>
        <w:numPr>
          <w:ilvl w:val="0"/>
          <w:numId w:val="2"/>
        </w:numPr>
      </w:pPr>
      <w:r>
        <w:t>Heath, C., &amp;</w:t>
      </w:r>
      <w:r>
        <w:t xml:space="preserve"> Heath, D (2007, 2008). Made to stick: Why some ideas survive and others die. Random House Inc., New York.</w:t>
      </w:r>
    </w:p>
    <w:p w14:paraId="70C7063D" w14:textId="77777777" w:rsidR="0082573F" w:rsidRDefault="007B3FAF">
      <w:pPr>
        <w:numPr>
          <w:ilvl w:val="0"/>
          <w:numId w:val="2"/>
        </w:numPr>
      </w:pPr>
      <w:proofErr w:type="spellStart"/>
      <w:r>
        <w:t>Hogle</w:t>
      </w:r>
      <w:proofErr w:type="spellEnd"/>
      <w:r>
        <w:t>, P. (2017). Accessibility from the ground up: A guide to making eLearning barrier-free. Retrieved from https://www.elearningguild.com/publicati</w:t>
      </w:r>
      <w:r>
        <w:t>ons/index.cfm?id=114</w:t>
      </w:r>
    </w:p>
    <w:p w14:paraId="1E474088" w14:textId="77777777" w:rsidR="0082573F" w:rsidRDefault="007B3FAF">
      <w:pPr>
        <w:numPr>
          <w:ilvl w:val="0"/>
          <w:numId w:val="2"/>
        </w:numPr>
      </w:pPr>
      <w:r>
        <w:t xml:space="preserve">Peters, D. (2014). Interface Design for Learning: Design Strategies for Learning Experiences. New Riders </w:t>
      </w:r>
      <w:hyperlink r:id="rId9">
        <w:r>
          <w:rPr>
            <w:color w:val="1155CC"/>
            <w:u w:val="single"/>
          </w:rPr>
          <w:t>www.newriders.com</w:t>
        </w:r>
      </w:hyperlink>
    </w:p>
    <w:p w14:paraId="2E836A50" w14:textId="77777777" w:rsidR="0082573F" w:rsidRDefault="000F2077">
      <w:pPr>
        <w:pStyle w:val="Heading2"/>
      </w:pPr>
      <w:bookmarkStart w:id="13" w:name="_7zqjeotcys9l" w:colFirst="0" w:colLast="0"/>
      <w:bookmarkEnd w:id="13"/>
      <w:r>
        <w:t xml:space="preserve">Other </w:t>
      </w:r>
      <w:r w:rsidR="007B3FAF">
        <w:t>Online Resources</w:t>
      </w:r>
    </w:p>
    <w:p w14:paraId="02924ECA" w14:textId="77777777" w:rsidR="0082573F" w:rsidRDefault="007B3FAF">
      <w:pPr>
        <w:numPr>
          <w:ilvl w:val="0"/>
          <w:numId w:val="2"/>
        </w:numPr>
      </w:pPr>
      <w:r>
        <w:t xml:space="preserve">Students and captions: </w:t>
      </w:r>
      <w:hyperlink r:id="rId10">
        <w:r>
          <w:rPr>
            <w:color w:val="1155CC"/>
            <w:u w:val="single"/>
          </w:rPr>
          <w:t>http://ecampus.oregonstate.edu/research/projects/3playmedia-institutional-research-study/</w:t>
        </w:r>
      </w:hyperlink>
    </w:p>
    <w:p w14:paraId="41E5590D" w14:textId="77777777" w:rsidR="0082573F" w:rsidRDefault="007B3FAF">
      <w:pPr>
        <w:numPr>
          <w:ilvl w:val="0"/>
          <w:numId w:val="2"/>
        </w:numPr>
      </w:pPr>
      <w:r>
        <w:lastRenderedPageBreak/>
        <w:t xml:space="preserve">1 in 5 has disability: </w:t>
      </w:r>
      <w:hyperlink r:id="rId11">
        <w:r>
          <w:rPr>
            <w:color w:val="1155CC"/>
            <w:u w:val="single"/>
          </w:rPr>
          <w:t>https://www</w:t>
        </w:r>
        <w:r>
          <w:rPr>
            <w:color w:val="1155CC"/>
            <w:u w:val="single"/>
          </w:rPr>
          <w:t>.disabled-world.com/</w:t>
        </w:r>
      </w:hyperlink>
    </w:p>
    <w:p w14:paraId="16960E03" w14:textId="77777777" w:rsidR="0082573F" w:rsidRDefault="007B3FAF">
      <w:pPr>
        <w:numPr>
          <w:ilvl w:val="0"/>
          <w:numId w:val="2"/>
        </w:numPr>
      </w:pPr>
      <w:r>
        <w:t xml:space="preserve">Accessible, Inclusive Professional Development: A Moral and Legal Imperative: </w:t>
      </w:r>
      <w:hyperlink r:id="rId12">
        <w:r>
          <w:rPr>
            <w:color w:val="1155CC"/>
            <w:u w:val="single"/>
          </w:rPr>
          <w:t>http://webcasts.td.org/webinar/2347</w:t>
        </w:r>
      </w:hyperlink>
    </w:p>
    <w:p w14:paraId="15A43BBF" w14:textId="77777777" w:rsidR="0082573F" w:rsidRDefault="007B3FAF">
      <w:pPr>
        <w:numPr>
          <w:ilvl w:val="0"/>
          <w:numId w:val="2"/>
        </w:numPr>
      </w:pPr>
      <w:r>
        <w:t xml:space="preserve">Over a billion people, about 15% of the world's population, have some form of disability. </w:t>
      </w:r>
      <w:hyperlink r:id="rId13">
        <w:r>
          <w:rPr>
            <w:color w:val="1155CC"/>
            <w:u w:val="single"/>
          </w:rPr>
          <w:t>http://www.who.int/mediacentre/factsheets/fs352/en/</w:t>
        </w:r>
      </w:hyperlink>
    </w:p>
    <w:p w14:paraId="5894B9C5" w14:textId="77777777" w:rsidR="0082573F" w:rsidRDefault="007B3FAF">
      <w:pPr>
        <w:numPr>
          <w:ilvl w:val="0"/>
          <w:numId w:val="2"/>
        </w:numPr>
      </w:pPr>
      <w:r>
        <w:t xml:space="preserve">Disabilities defined </w:t>
      </w:r>
      <w:hyperlink r:id="rId14">
        <w:r>
          <w:rPr>
            <w:color w:val="1155CC"/>
            <w:u w:val="single"/>
          </w:rPr>
          <w:t>http://www.who.int/topics/disabilities/en/</w:t>
        </w:r>
      </w:hyperlink>
    </w:p>
    <w:p w14:paraId="5CA79AEC" w14:textId="77777777" w:rsidR="0082573F" w:rsidRDefault="007B3FAF">
      <w:pPr>
        <w:numPr>
          <w:ilvl w:val="0"/>
          <w:numId w:val="2"/>
        </w:numPr>
      </w:pPr>
      <w:r>
        <w:t xml:space="preserve">Infographic on worldwide disabilities: </w:t>
      </w:r>
      <w:hyperlink r:id="rId15">
        <w:r>
          <w:rPr>
            <w:color w:val="1155CC"/>
            <w:u w:val="single"/>
          </w:rPr>
          <w:t>http://www.who.int/disabilities/infographic/en/</w:t>
        </w:r>
      </w:hyperlink>
    </w:p>
    <w:p w14:paraId="24EF4034" w14:textId="77777777" w:rsidR="0082573F" w:rsidRDefault="007B3FAF">
      <w:pPr>
        <w:numPr>
          <w:ilvl w:val="0"/>
          <w:numId w:val="2"/>
        </w:numPr>
      </w:pPr>
      <w:r>
        <w:t>Disclosure of disab</w:t>
      </w:r>
      <w:r>
        <w:t xml:space="preserve">ilities study: </w:t>
      </w:r>
      <w:hyperlink r:id="rId16">
        <w:r>
          <w:rPr>
            <w:color w:val="1155CC"/>
            <w:u w:val="single"/>
          </w:rPr>
          <w:t>https://www.dol.gov/ofccp/regs/compliance/ResourcesFederalContractors_files/Cornell_R5_Brief_FINAL_4.2</w:t>
        </w:r>
        <w:r>
          <w:rPr>
            <w:color w:val="1155CC"/>
            <w:u w:val="single"/>
          </w:rPr>
          <w:t>2_JRF_QA_508c.pdf</w:t>
        </w:r>
      </w:hyperlink>
    </w:p>
    <w:p w14:paraId="097ED705" w14:textId="77777777" w:rsidR="0082573F" w:rsidRDefault="007B3FAF">
      <w:pPr>
        <w:numPr>
          <w:ilvl w:val="0"/>
          <w:numId w:val="2"/>
        </w:numPr>
      </w:pPr>
      <w:r>
        <w:t xml:space="preserve">Additional disclosure stats: </w:t>
      </w:r>
      <w:hyperlink r:id="rId17">
        <w:r>
          <w:rPr>
            <w:color w:val="1155CC"/>
            <w:u w:val="single"/>
          </w:rPr>
          <w:t>https://www.shrm.org/resourcesandtools/h</w:t>
        </w:r>
        <w:r>
          <w:rPr>
            <w:color w:val="1155CC"/>
            <w:u w:val="single"/>
          </w:rPr>
          <w:t>r-topics/behavioral-competencies/global-and-cultural-effectiveness/pages/comfortabledisclosingdisability.aspx</w:t>
        </w:r>
      </w:hyperlink>
    </w:p>
    <w:p w14:paraId="620BA345" w14:textId="77777777" w:rsidR="0082573F" w:rsidRDefault="007B3FAF">
      <w:pPr>
        <w:numPr>
          <w:ilvl w:val="0"/>
          <w:numId w:val="2"/>
        </w:numPr>
      </w:pPr>
      <w:r>
        <w:t xml:space="preserve">Disability in the workplace: </w:t>
      </w:r>
      <w:hyperlink r:id="rId18">
        <w:r>
          <w:rPr>
            <w:color w:val="1155CC"/>
            <w:u w:val="single"/>
          </w:rPr>
          <w:t>https://www.askearn.org/wp-cont</w:t>
        </w:r>
        <w:r>
          <w:rPr>
            <w:color w:val="1155CC"/>
            <w:u w:val="single"/>
          </w:rPr>
          <w:t>ent/uploads/docs/do_ask_do_tell.pdf</w:t>
        </w:r>
      </w:hyperlink>
    </w:p>
    <w:p w14:paraId="738380B4" w14:textId="77777777" w:rsidR="0082573F" w:rsidRDefault="007B3FAF">
      <w:pPr>
        <w:numPr>
          <w:ilvl w:val="0"/>
          <w:numId w:val="2"/>
        </w:numPr>
        <w:contextualSpacing/>
      </w:pPr>
      <w:r>
        <w:t>US Census 2010: Population in 2010 was 309.3 million</w:t>
      </w:r>
    </w:p>
    <w:sectPr w:rsidR="0082573F">
      <w:headerReference w:type="default" r:id="rId19"/>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DF001E" w14:textId="77777777" w:rsidR="007B3FAF" w:rsidRDefault="007B3FAF">
      <w:pPr>
        <w:spacing w:after="0"/>
      </w:pPr>
      <w:r>
        <w:separator/>
      </w:r>
    </w:p>
  </w:endnote>
  <w:endnote w:type="continuationSeparator" w:id="0">
    <w:p w14:paraId="2C9A937C" w14:textId="77777777" w:rsidR="007B3FAF" w:rsidRDefault="007B3FA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773B26" w14:textId="77777777" w:rsidR="007B3FAF" w:rsidRDefault="007B3FAF">
      <w:pPr>
        <w:spacing w:after="0"/>
      </w:pPr>
      <w:r>
        <w:separator/>
      </w:r>
    </w:p>
  </w:footnote>
  <w:footnote w:type="continuationSeparator" w:id="0">
    <w:p w14:paraId="7CFA6C48" w14:textId="77777777" w:rsidR="007B3FAF" w:rsidRDefault="007B3FA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A97FA0" w14:textId="77777777" w:rsidR="0082573F" w:rsidRDefault="007B3FAF">
    <w:r>
      <w:t xml:space="preserve">Christina Moore / </w:t>
    </w:r>
    <w:hyperlink r:id="rId1">
      <w:r>
        <w:rPr>
          <w:color w:val="1155CC"/>
          <w:u w:val="single"/>
        </w:rPr>
        <w:t>christina.moore@ucdenver</w:t>
      </w:r>
      <w:r>
        <w:rPr>
          <w:color w:val="1155CC"/>
          <w:u w:val="single"/>
        </w:rPr>
        <w:t>.edu</w:t>
      </w:r>
    </w:hyperlink>
    <w:r>
      <w:t xml:space="preserve"> / </w:t>
    </w:r>
    <w:hyperlink r:id="rId2">
      <w:r>
        <w:rPr>
          <w:color w:val="1155CC"/>
          <w:u w:val="single"/>
        </w:rPr>
        <w:t>www.christinamooredesign.com</w:t>
      </w:r>
    </w:hyperlink>
    <w:r>
      <w:t xml:space="preserve"> / 9/2</w:t>
    </w:r>
    <w:r w:rsidR="000F2077">
      <w:t>3</w:t>
    </w:r>
    <w:r>
      <w:t>/17</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2146C"/>
    <w:multiLevelType w:val="multilevel"/>
    <w:tmpl w:val="354027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1605D65"/>
    <w:multiLevelType w:val="multilevel"/>
    <w:tmpl w:val="70F843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3DDF5F6B"/>
    <w:multiLevelType w:val="multilevel"/>
    <w:tmpl w:val="CB6C97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82573F"/>
    <w:rsid w:val="000F2077"/>
    <w:rsid w:val="007B3FAF"/>
    <w:rsid w:val="00825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02FFF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after="2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outlineLvl w:val="1"/>
    </w:pPr>
    <w:rPr>
      <w:b/>
      <w:sz w:val="26"/>
      <w:szCs w:val="26"/>
    </w:rPr>
  </w:style>
  <w:style w:type="paragraph" w:styleId="Heading3">
    <w:name w:val="heading 3"/>
    <w:basedOn w:val="Normal"/>
    <w:next w:val="Normal"/>
    <w:pPr>
      <w:keepNext/>
      <w:keepLines/>
      <w:spacing w:before="320"/>
      <w:outlineLvl w:val="2"/>
    </w:pPr>
    <w:rPr>
      <w:b/>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0F2077"/>
    <w:pPr>
      <w:tabs>
        <w:tab w:val="center" w:pos="4680"/>
        <w:tab w:val="right" w:pos="9360"/>
      </w:tabs>
      <w:spacing w:after="0"/>
    </w:pPr>
  </w:style>
  <w:style w:type="character" w:customStyle="1" w:styleId="HeaderChar">
    <w:name w:val="Header Char"/>
    <w:basedOn w:val="DefaultParagraphFont"/>
    <w:link w:val="Header"/>
    <w:uiPriority w:val="99"/>
    <w:rsid w:val="000F2077"/>
  </w:style>
  <w:style w:type="paragraph" w:styleId="Footer">
    <w:name w:val="footer"/>
    <w:basedOn w:val="Normal"/>
    <w:link w:val="FooterChar"/>
    <w:uiPriority w:val="99"/>
    <w:unhideWhenUsed/>
    <w:rsid w:val="000F2077"/>
    <w:pPr>
      <w:tabs>
        <w:tab w:val="center" w:pos="4680"/>
        <w:tab w:val="right" w:pos="9360"/>
      </w:tabs>
      <w:spacing w:after="0"/>
    </w:pPr>
  </w:style>
  <w:style w:type="character" w:customStyle="1" w:styleId="FooterChar">
    <w:name w:val="Footer Char"/>
    <w:basedOn w:val="DefaultParagraphFont"/>
    <w:link w:val="Footer"/>
    <w:uiPriority w:val="99"/>
    <w:rsid w:val="000F20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newriders.com"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ecampus.oregonstate.edu/research/projects/3playmedia-institutional-research-study/" TargetMode="External"/><Relationship Id="rId11" Type="http://schemas.openxmlformats.org/officeDocument/2006/relationships/hyperlink" Target="https://www.disabled-world.com/" TargetMode="External"/><Relationship Id="rId12" Type="http://schemas.openxmlformats.org/officeDocument/2006/relationships/hyperlink" Target="http://webcasts.td.org/webinar/2347" TargetMode="External"/><Relationship Id="rId13" Type="http://schemas.openxmlformats.org/officeDocument/2006/relationships/hyperlink" Target="http://www.who.int/mediacentre/factsheets/fs352/en/" TargetMode="External"/><Relationship Id="rId14" Type="http://schemas.openxmlformats.org/officeDocument/2006/relationships/hyperlink" Target="http://www.who.int/topics/disabilities/en/" TargetMode="External"/><Relationship Id="rId15" Type="http://schemas.openxmlformats.org/officeDocument/2006/relationships/hyperlink" Target="http://www.who.int/disabilities/infographic/en/" TargetMode="External"/><Relationship Id="rId16" Type="http://schemas.openxmlformats.org/officeDocument/2006/relationships/hyperlink" Target="https://www.dol.gov/ofccp/regs/compliance/ResourcesFederalContractors_files/Cornell_R5_Brief_FINAL_4.22_JRF_QA_508c.pdf" TargetMode="External"/><Relationship Id="rId17" Type="http://schemas.openxmlformats.org/officeDocument/2006/relationships/hyperlink" Target="https://www.shrm.org/resourcesandtools/hr-topics/behavioral-competencies/global-and-cultural-effectiveness/pages/comfortabledisclosingdisability.aspx" TargetMode="External"/><Relationship Id="rId18" Type="http://schemas.openxmlformats.org/officeDocument/2006/relationships/hyperlink" Target="https://www.askearn.org/wp-content/uploads/docs/do_ask_do_tell.pdf" TargetMode="External"/><Relationship Id="rId19" Type="http://schemas.openxmlformats.org/officeDocument/2006/relationships/header" Target="header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freepik.com/"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mailto:christina.moore@ucdenver.edu" TargetMode="External"/><Relationship Id="rId2" Type="http://schemas.openxmlformats.org/officeDocument/2006/relationships/hyperlink" Target="http://www.christinamooredesig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3011</Words>
  <Characters>17168</Characters>
  <Application>Microsoft Macintosh Word</Application>
  <DocSecurity>0</DocSecurity>
  <Lines>143</Lines>
  <Paragraphs>40</Paragraphs>
  <ScaleCrop>false</ScaleCrop>
  <LinksUpToDate>false</LinksUpToDate>
  <CharactersWithSpaces>20139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Moore, Christina</cp:lastModifiedBy>
  <cp:revision>2</cp:revision>
  <dcterms:created xsi:type="dcterms:W3CDTF">2017-09-23T23:33:00Z</dcterms:created>
  <dcterms:modified xsi:type="dcterms:W3CDTF">2017-09-23T23:36:00Z</dcterms:modified>
</cp:coreProperties>
</file>